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C6DA3" w14:textId="77777777" w:rsidR="00B64DD9" w:rsidRPr="00A46956" w:rsidRDefault="00B64DD9" w:rsidP="00B64DD9">
      <w:pPr>
        <w:jc w:val="both"/>
      </w:pPr>
      <w:r>
        <w:rPr>
          <w:noProof/>
        </w:rPr>
        <w:drawing>
          <wp:inline distT="0" distB="0" distL="0" distR="0" wp14:anchorId="63AF7DE2" wp14:editId="5E7D3A44">
            <wp:extent cx="365761" cy="3657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_120_120_M - Cop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1" cy="365761"/>
                    </a:xfrm>
                    <a:prstGeom prst="rect">
                      <a:avLst/>
                    </a:prstGeom>
                  </pic:spPr>
                </pic:pic>
              </a:graphicData>
            </a:graphic>
          </wp:inline>
        </w:drawing>
      </w:r>
    </w:p>
    <w:p w14:paraId="4A96F3D6" w14:textId="77777777" w:rsidR="00B64DD9" w:rsidRPr="00A46956" w:rsidRDefault="00B64DD9" w:rsidP="00B64DD9">
      <w:pPr>
        <w:pStyle w:val="Title"/>
        <w:jc w:val="center"/>
      </w:pPr>
      <w:r w:rsidRPr="00A46956">
        <w:t>Whistleblowing Procedure</w:t>
      </w:r>
    </w:p>
    <w:p w14:paraId="1C1528B1" w14:textId="77777777" w:rsidR="00B64DD9" w:rsidRPr="00A46956" w:rsidRDefault="00B64DD9" w:rsidP="00B64DD9">
      <w:pPr>
        <w:jc w:val="both"/>
      </w:pPr>
    </w:p>
    <w:p w14:paraId="72C6E0DE" w14:textId="77777777" w:rsidR="00B64DD9" w:rsidRDefault="00B64DD9" w:rsidP="00B64DD9">
      <w:pPr>
        <w:pStyle w:val="Subtitle"/>
      </w:pPr>
      <w:r>
        <w:t>Declaration</w:t>
      </w:r>
    </w:p>
    <w:p w14:paraId="52ADAB4B" w14:textId="77777777" w:rsidR="00B64DD9" w:rsidRPr="00A46956" w:rsidRDefault="00B64DD9" w:rsidP="00B64DD9">
      <w:pPr>
        <w:jc w:val="both"/>
      </w:pPr>
      <w:r w:rsidRPr="00A46956">
        <w:t>The company known as</w:t>
      </w:r>
      <w:r>
        <w:t xml:space="preserve"> ___________________________________________________________________________</w:t>
      </w:r>
      <w:r w:rsidRPr="00A46956">
        <w:t xml:space="preserve">  Is committed to returning dividends for its shareholders and consequently recognises, without inculpatory admission of malfeasance, that this pursuit may give rise to incidents or practices that could be perceived by some employees as prejudiced, morally questionable or, illegal. We therefore accept that “Whistleblowing” as an act exists </w:t>
      </w:r>
      <w:r w:rsidRPr="00A46956">
        <w:rPr>
          <w:i/>
          <w:iCs/>
        </w:rPr>
        <w:t xml:space="preserve">in </w:t>
      </w:r>
      <w:proofErr w:type="spellStart"/>
      <w:r w:rsidRPr="00A46956">
        <w:rPr>
          <w:i/>
          <w:iCs/>
        </w:rPr>
        <w:t>potentia</w:t>
      </w:r>
      <w:proofErr w:type="spellEnd"/>
      <w:r w:rsidRPr="00A46956">
        <w:rPr>
          <w:i/>
          <w:iCs/>
        </w:rPr>
        <w:t xml:space="preserve"> </w:t>
      </w:r>
      <w:r w:rsidRPr="00A46956">
        <w:t>irrespective of any legitimacy in the instance thereof.</w:t>
      </w:r>
    </w:p>
    <w:p w14:paraId="6B9145D1" w14:textId="6B1DC513" w:rsidR="00B64DD9" w:rsidRPr="00A46956" w:rsidRDefault="00B64DD9" w:rsidP="00B64DD9">
      <w:pPr>
        <w:jc w:val="both"/>
      </w:pPr>
      <w:r w:rsidRPr="00A46956">
        <w:rPr>
          <w:u w:val="single"/>
        </w:rPr>
        <w:t>Whistleblowing</w:t>
      </w:r>
      <w:r w:rsidRPr="00A46956">
        <w:t xml:space="preserve"> shall be defined as the act of reporting concerns about a person, persons or department possibly engaging in an activity or activities that have the potential to be conceivably observed to be illicit, illegal or otherwise detrimental to shareholder or public interests.</w:t>
      </w:r>
    </w:p>
    <w:p w14:paraId="3F306082" w14:textId="77777777" w:rsidR="00B64DD9" w:rsidRDefault="00B64DD9" w:rsidP="00B64DD9">
      <w:pPr>
        <w:jc w:val="both"/>
      </w:pPr>
      <w:r w:rsidRPr="00A46956">
        <w:rPr>
          <w:u w:val="single"/>
        </w:rPr>
        <w:t>Whistle-blower</w:t>
      </w:r>
      <w:r w:rsidRPr="00A46956">
        <w:t xml:space="preserve"> or </w:t>
      </w:r>
      <w:r w:rsidRPr="00A46956">
        <w:rPr>
          <w:u w:val="single"/>
        </w:rPr>
        <w:t>Whistle-blowers</w:t>
      </w:r>
      <w:r w:rsidRPr="00A46956">
        <w:t xml:space="preserve"> shall be defined as the informant or informants in the hypothetical instance of the act of whistleblowing occurring. </w:t>
      </w:r>
    </w:p>
    <w:p w14:paraId="3DF31F30" w14:textId="77777777" w:rsidR="00B64DD9" w:rsidRPr="00A46956" w:rsidRDefault="00B64DD9" w:rsidP="00B64DD9">
      <w:pPr>
        <w:pStyle w:val="Subtitle"/>
      </w:pPr>
      <w:r>
        <w:t>Reporting</w:t>
      </w:r>
    </w:p>
    <w:p w14:paraId="3300449D" w14:textId="77777777" w:rsidR="00B64DD9" w:rsidRPr="00A46956" w:rsidRDefault="00B64DD9" w:rsidP="00B64DD9">
      <w:pPr>
        <w:jc w:val="both"/>
      </w:pPr>
      <w:r w:rsidRPr="00A46956">
        <w:t>Employees shall be instructed to report concerns internally. Informant’s shall report any and all concerns to their immediate superiors. Should the concerns be related to the informant’s immediate superiors the informant’s concerns should be reported to the Human Resources department. Should the informant’s concerns be related to the Human Resources department the informant’s concerns should be reported to their immediate superiors. Should the informant’s concerns be related to immediate superiors in the Human Resources department the informant’s concerns should be reported to the Human Resources department.</w:t>
      </w:r>
    </w:p>
    <w:p w14:paraId="2C54FC26" w14:textId="77777777" w:rsidR="00B64DD9" w:rsidRDefault="00B64DD9" w:rsidP="00B64DD9">
      <w:pPr>
        <w:jc w:val="both"/>
      </w:pPr>
      <w:r w:rsidRPr="00A46956">
        <w:t>In the event that a case of whistleblowing occurs all reported concerns shall be processed through the Human Resources department only. The investigating department shall be defined at the discretion of the processing department. The investigating department shall follow the guidelines outlined below.</w:t>
      </w:r>
    </w:p>
    <w:p w14:paraId="535A11B9" w14:textId="77777777" w:rsidR="00B64DD9" w:rsidRPr="00A46956" w:rsidRDefault="00B64DD9" w:rsidP="00B64DD9">
      <w:pPr>
        <w:pStyle w:val="Subtitle"/>
      </w:pPr>
      <w:r>
        <w:t>Investigative guideline</w:t>
      </w:r>
    </w:p>
    <w:p w14:paraId="4166D0D5" w14:textId="77777777" w:rsidR="00B64DD9" w:rsidRPr="00A46956" w:rsidRDefault="00B64DD9" w:rsidP="00B64DD9">
      <w:pPr>
        <w:pStyle w:val="ListParagraph"/>
        <w:numPr>
          <w:ilvl w:val="0"/>
          <w:numId w:val="1"/>
        </w:numPr>
        <w:jc w:val="both"/>
      </w:pPr>
      <w:r w:rsidRPr="00A46956">
        <w:rPr>
          <w:u w:val="single"/>
        </w:rPr>
        <w:t>Knowledge</w:t>
      </w:r>
      <w:r w:rsidRPr="00A46956">
        <w:t xml:space="preserve">. What is the concern and can it be evidenced? How many people know? </w:t>
      </w:r>
    </w:p>
    <w:p w14:paraId="20664111" w14:textId="77777777" w:rsidR="00B64DD9" w:rsidRPr="00A46956" w:rsidRDefault="00B64DD9" w:rsidP="00B64DD9">
      <w:pPr>
        <w:pStyle w:val="ListParagraph"/>
        <w:numPr>
          <w:ilvl w:val="0"/>
          <w:numId w:val="1"/>
        </w:numPr>
        <w:jc w:val="both"/>
      </w:pPr>
      <w:r w:rsidRPr="00A46956">
        <w:rPr>
          <w:u w:val="single"/>
        </w:rPr>
        <w:t>Intent</w:t>
      </w:r>
      <w:r w:rsidRPr="00A46956">
        <w:t>. What does the informant want? Can the matter be settled informally? What is the information worth?</w:t>
      </w:r>
    </w:p>
    <w:p w14:paraId="0DDAD9CF" w14:textId="77777777" w:rsidR="00B64DD9" w:rsidRPr="00A46956" w:rsidRDefault="00B64DD9" w:rsidP="00B64DD9">
      <w:pPr>
        <w:pStyle w:val="ListParagraph"/>
        <w:numPr>
          <w:ilvl w:val="0"/>
          <w:numId w:val="1"/>
        </w:numPr>
        <w:jc w:val="both"/>
      </w:pPr>
      <w:r w:rsidRPr="00A46956">
        <w:rPr>
          <w:u w:val="single"/>
        </w:rPr>
        <w:t>Liabilities</w:t>
      </w:r>
      <w:r w:rsidRPr="00A46956">
        <w:t>. What is the risk? Would exposure result in authority interest or litigation? Are shareholder interests in jeopardy? Do any documents need redacting or shredding?</w:t>
      </w:r>
    </w:p>
    <w:p w14:paraId="1FE28942" w14:textId="77777777" w:rsidR="00B64DD9" w:rsidRPr="00A46956" w:rsidRDefault="00B64DD9" w:rsidP="00B64DD9">
      <w:pPr>
        <w:pStyle w:val="ListParagraph"/>
        <w:numPr>
          <w:ilvl w:val="0"/>
          <w:numId w:val="1"/>
        </w:numPr>
        <w:jc w:val="both"/>
      </w:pPr>
      <w:r w:rsidRPr="00A46956">
        <w:rPr>
          <w:u w:val="single"/>
        </w:rPr>
        <w:t>Leverage</w:t>
      </w:r>
      <w:r w:rsidRPr="00A46956">
        <w:t>. Can the informant afford legal representation? If not, is it viable to start civil litigation against them? Do they have a disciplinary history that can be used against them? Does the informant have a physical or mental health impairment that could be exploited to erode their motivation? Do they have personal debt or court judgements against them? Do they have family?</w:t>
      </w:r>
    </w:p>
    <w:p w14:paraId="50B85F26" w14:textId="77777777" w:rsidR="00B64DD9" w:rsidRPr="00A46956" w:rsidRDefault="00B64DD9" w:rsidP="00B64DD9">
      <w:pPr>
        <w:pStyle w:val="ListParagraph"/>
        <w:numPr>
          <w:ilvl w:val="0"/>
          <w:numId w:val="1"/>
        </w:numPr>
        <w:jc w:val="both"/>
      </w:pPr>
      <w:r w:rsidRPr="00A46956">
        <w:rPr>
          <w:u w:val="single"/>
        </w:rPr>
        <w:t>Isolation</w:t>
      </w:r>
      <w:r w:rsidRPr="00A46956">
        <w:t>. As much as possible ensure that the informant or informants are separated from all opportunity to discuss any issues with colleagues, other departments or other third-party individuals or groups.</w:t>
      </w:r>
    </w:p>
    <w:p w14:paraId="4C271B28" w14:textId="77777777" w:rsidR="00B64DD9" w:rsidRPr="00A46956" w:rsidRDefault="00B64DD9" w:rsidP="00B64DD9">
      <w:pPr>
        <w:pStyle w:val="ListParagraph"/>
        <w:numPr>
          <w:ilvl w:val="0"/>
          <w:numId w:val="1"/>
        </w:numPr>
        <w:jc w:val="both"/>
      </w:pPr>
      <w:r w:rsidRPr="00A46956">
        <w:rPr>
          <w:u w:val="single"/>
        </w:rPr>
        <w:t>Termination</w:t>
      </w:r>
      <w:r w:rsidRPr="00A46956">
        <w:t>. Can the informant’s contract be ended? Can anything be done to make them leave of their own volition?</w:t>
      </w:r>
    </w:p>
    <w:p w14:paraId="1349AC05" w14:textId="77777777" w:rsidR="00B64DD9" w:rsidRPr="00323C4D" w:rsidRDefault="00B64DD9" w:rsidP="00B64DD9">
      <w:pPr>
        <w:jc w:val="both"/>
        <w:rPr>
          <w:rStyle w:val="IntenseEmphasis"/>
        </w:rPr>
      </w:pPr>
      <w:r w:rsidRPr="00323C4D">
        <w:rPr>
          <w:rStyle w:val="IntenseEmphasis"/>
        </w:rPr>
        <w:t>Information about the concerns and any subsequent investigation shall be kept restricted to the processing department and the defined investigating department. Failure to comply will be considered misconduct.</w:t>
      </w:r>
    </w:p>
    <w:p w14:paraId="0C58F12B" w14:textId="77777777" w:rsidR="00B64DD9" w:rsidRDefault="00B64DD9" w:rsidP="00B64DD9">
      <w:pPr>
        <w:pStyle w:val="Subtitle"/>
      </w:pPr>
    </w:p>
    <w:p w14:paraId="4B28BEAF" w14:textId="77777777" w:rsidR="00B64DD9" w:rsidRDefault="00B64DD9" w:rsidP="00B64DD9">
      <w:pPr>
        <w:pStyle w:val="Subtitle"/>
      </w:pPr>
    </w:p>
    <w:p w14:paraId="75282506" w14:textId="77777777" w:rsidR="00B64DD9" w:rsidRDefault="00B64DD9" w:rsidP="00B64DD9">
      <w:pPr>
        <w:pStyle w:val="Subtitle"/>
      </w:pPr>
      <w:r>
        <w:t>Additional guidelines</w:t>
      </w:r>
    </w:p>
    <w:p w14:paraId="20215523" w14:textId="77777777" w:rsidR="00B64DD9" w:rsidRPr="00A46956" w:rsidRDefault="00B64DD9" w:rsidP="00B64DD9">
      <w:pPr>
        <w:pStyle w:val="ListParagraph"/>
        <w:numPr>
          <w:ilvl w:val="0"/>
          <w:numId w:val="2"/>
        </w:numPr>
        <w:jc w:val="both"/>
      </w:pPr>
      <w:r w:rsidRPr="00A46956">
        <w:t>The number and identity of investigating parties shall be chosen as deemed appropriate by and at the discretion of the investigating department</w:t>
      </w:r>
      <w:r>
        <w:t>,</w:t>
      </w:r>
      <w:r w:rsidRPr="00A46956">
        <w:t xml:space="preserve"> as defined at the discretion of and by the processing department.</w:t>
      </w:r>
    </w:p>
    <w:p w14:paraId="39CBE03B" w14:textId="77777777" w:rsidR="00B64DD9" w:rsidRPr="00A46956" w:rsidRDefault="00B64DD9" w:rsidP="00B64DD9">
      <w:pPr>
        <w:pStyle w:val="ListParagraph"/>
        <w:numPr>
          <w:ilvl w:val="0"/>
          <w:numId w:val="2"/>
        </w:numPr>
        <w:jc w:val="both"/>
      </w:pPr>
      <w:r w:rsidRPr="00A46956">
        <w:t>Once the investigation has been judged by the processing department to have progressed sufficiently as to allow for conclusion of the investigation</w:t>
      </w:r>
      <w:r>
        <w:t>,</w:t>
      </w:r>
      <w:r w:rsidRPr="00A46956">
        <w:t xml:space="preserve"> the results will be evaluated by the processing department at the discretion of the processing department.</w:t>
      </w:r>
    </w:p>
    <w:p w14:paraId="5D65F9F8" w14:textId="05D7D59E" w:rsidR="00B64DD9" w:rsidRPr="00A46956" w:rsidRDefault="00B64DD9" w:rsidP="00B64DD9">
      <w:pPr>
        <w:pStyle w:val="ListParagraph"/>
        <w:numPr>
          <w:ilvl w:val="0"/>
          <w:numId w:val="2"/>
        </w:numPr>
        <w:jc w:val="both"/>
      </w:pPr>
      <w:r w:rsidRPr="00A46956">
        <w:t>In the event that evidence of wrongdoing is found</w:t>
      </w:r>
      <w:r w:rsidR="0099585A">
        <w:t>,</w:t>
      </w:r>
      <w:r w:rsidRPr="00A46956">
        <w:t xml:space="preserve"> the company disciplinary procedure shall be followed against the relevant parties at the discretion of the processing department.</w:t>
      </w:r>
    </w:p>
    <w:p w14:paraId="2C338453" w14:textId="6540736B" w:rsidR="00B64DD9" w:rsidRPr="00A46956" w:rsidRDefault="00B64DD9" w:rsidP="00B64DD9">
      <w:pPr>
        <w:pStyle w:val="ListParagraph"/>
        <w:numPr>
          <w:ilvl w:val="0"/>
          <w:numId w:val="2"/>
        </w:numPr>
        <w:jc w:val="both"/>
      </w:pPr>
      <w:r w:rsidRPr="00A46956">
        <w:t>In the event that no evidence of wrongdoing is found</w:t>
      </w:r>
      <w:r w:rsidR="004C56DC">
        <w:t>,</w:t>
      </w:r>
      <w:r w:rsidRPr="00A46956">
        <w:t xml:space="preserve"> the company disciplinary procedure shall be followed against the relevant parties at the discretion of the processing department.</w:t>
      </w:r>
    </w:p>
    <w:p w14:paraId="4F6826D7" w14:textId="68CF8BFB" w:rsidR="00B64DD9" w:rsidRPr="00A46956" w:rsidRDefault="00B64DD9" w:rsidP="00B64DD9">
      <w:pPr>
        <w:pStyle w:val="ListParagraph"/>
        <w:numPr>
          <w:ilvl w:val="0"/>
          <w:numId w:val="2"/>
        </w:numPr>
        <w:jc w:val="both"/>
      </w:pPr>
      <w:r w:rsidRPr="00A46956">
        <w:t>In the event that the disciplinary procedure is not followed by the processing department, the company disciplinary procedure shall be followed against the relevant parties</w:t>
      </w:r>
      <w:bookmarkStart w:id="0" w:name="_GoBack"/>
      <w:bookmarkEnd w:id="0"/>
      <w:r w:rsidRPr="00A46956">
        <w:t xml:space="preserve"> at the discretion of the processing department.</w:t>
      </w:r>
    </w:p>
    <w:p w14:paraId="69A6D2E8" w14:textId="77777777" w:rsidR="00B64DD9" w:rsidRPr="00A46956" w:rsidRDefault="00B64DD9" w:rsidP="00B64DD9">
      <w:pPr>
        <w:pStyle w:val="ListParagraph"/>
        <w:numPr>
          <w:ilvl w:val="0"/>
          <w:numId w:val="2"/>
        </w:numPr>
        <w:jc w:val="both"/>
      </w:pPr>
      <w:r w:rsidRPr="00A46956">
        <w:t>External agencies or authorities shall not at any point be contacted or interacted with during the investigation, evaluation, or disciplinary processes.</w:t>
      </w:r>
    </w:p>
    <w:p w14:paraId="3FF5EF17" w14:textId="77777777" w:rsidR="00B64DD9" w:rsidRPr="00A46956" w:rsidRDefault="00B64DD9" w:rsidP="00B64DD9">
      <w:pPr>
        <w:pStyle w:val="ListParagraph"/>
        <w:numPr>
          <w:ilvl w:val="0"/>
          <w:numId w:val="2"/>
        </w:numPr>
        <w:jc w:val="both"/>
      </w:pPr>
      <w:r w:rsidRPr="00A46956">
        <w:t>The current version of this policy shall supersede any previous versions of this policy.</w:t>
      </w:r>
    </w:p>
    <w:p w14:paraId="58E212E8" w14:textId="77777777" w:rsidR="00B64DD9" w:rsidRDefault="00B64DD9" w:rsidP="00B64DD9">
      <w:pPr>
        <w:pStyle w:val="ListParagraph"/>
        <w:numPr>
          <w:ilvl w:val="0"/>
          <w:numId w:val="2"/>
        </w:numPr>
        <w:jc w:val="both"/>
      </w:pPr>
      <w:r w:rsidRPr="00A46956">
        <w:t>All employees of the company are responsible for seeking out, observing and complying with the current version of this policy. Failure to be aware of, comply with, or agree with the current version of this policy shall be considered misconduct and could lead to disciplinary action including dismissal.</w:t>
      </w:r>
    </w:p>
    <w:p w14:paraId="73FC280B" w14:textId="77777777" w:rsidR="00B64DD9" w:rsidRPr="00A46956" w:rsidRDefault="00B64DD9" w:rsidP="00B64DD9">
      <w:pPr>
        <w:jc w:val="both"/>
      </w:pPr>
    </w:p>
    <w:tbl>
      <w:tblPr>
        <w:tblStyle w:val="TableGrid"/>
        <w:tblW w:w="0" w:type="auto"/>
        <w:tblLook w:val="04A0" w:firstRow="1" w:lastRow="0" w:firstColumn="1" w:lastColumn="0" w:noHBand="0" w:noVBand="1"/>
      </w:tblPr>
      <w:tblGrid>
        <w:gridCol w:w="1355"/>
        <w:gridCol w:w="2029"/>
        <w:gridCol w:w="1421"/>
        <w:gridCol w:w="1357"/>
        <w:gridCol w:w="1970"/>
        <w:gridCol w:w="2211"/>
      </w:tblGrid>
      <w:tr w:rsidR="00B64DD9" w:rsidRPr="00A46956" w14:paraId="1BB5CBE0" w14:textId="77777777" w:rsidTr="00B05982">
        <w:trPr>
          <w:trHeight w:val="200"/>
        </w:trPr>
        <w:tc>
          <w:tcPr>
            <w:tcW w:w="0" w:type="auto"/>
            <w:gridSpan w:val="2"/>
            <w:vAlign w:val="center"/>
          </w:tcPr>
          <w:p w14:paraId="2B991F11" w14:textId="77777777" w:rsidR="00B64DD9" w:rsidRPr="00A46956" w:rsidRDefault="00B64DD9" w:rsidP="00B05982">
            <w:r w:rsidRPr="00A46956">
              <w:t>Document Information and Version</w:t>
            </w:r>
          </w:p>
        </w:tc>
        <w:tc>
          <w:tcPr>
            <w:tcW w:w="6959" w:type="dxa"/>
            <w:gridSpan w:val="4"/>
          </w:tcPr>
          <w:p w14:paraId="2C498666" w14:textId="77777777" w:rsidR="00B64DD9" w:rsidRPr="00A46956" w:rsidRDefault="00B64DD9" w:rsidP="00B05982">
            <w:r>
              <w:t>Owner:</w:t>
            </w:r>
          </w:p>
        </w:tc>
      </w:tr>
      <w:tr w:rsidR="00B64DD9" w:rsidRPr="00A46956" w14:paraId="3DF137FD" w14:textId="77777777" w:rsidTr="00B05982">
        <w:trPr>
          <w:trHeight w:val="586"/>
        </w:trPr>
        <w:tc>
          <w:tcPr>
            <w:tcW w:w="0" w:type="auto"/>
          </w:tcPr>
          <w:p w14:paraId="285B1B88" w14:textId="77777777" w:rsidR="00B64DD9" w:rsidRPr="00A46956" w:rsidRDefault="00B64DD9" w:rsidP="00B05982">
            <w:pPr>
              <w:jc w:val="center"/>
            </w:pPr>
            <w:r w:rsidRPr="00A46956">
              <w:t>Reviewer</w:t>
            </w:r>
          </w:p>
        </w:tc>
        <w:tc>
          <w:tcPr>
            <w:tcW w:w="0" w:type="auto"/>
          </w:tcPr>
          <w:p w14:paraId="4A3BEB00" w14:textId="77777777" w:rsidR="00B64DD9" w:rsidRPr="00A46956" w:rsidRDefault="00B64DD9" w:rsidP="00B05982">
            <w:pPr>
              <w:jc w:val="center"/>
            </w:pPr>
            <w:r w:rsidRPr="00A46956">
              <w:t>Date of Review</w:t>
            </w:r>
          </w:p>
        </w:tc>
        <w:tc>
          <w:tcPr>
            <w:tcW w:w="0" w:type="auto"/>
          </w:tcPr>
          <w:p w14:paraId="77B33A7C" w14:textId="77777777" w:rsidR="00B64DD9" w:rsidRPr="00A46956" w:rsidRDefault="00B64DD9" w:rsidP="00B05982">
            <w:pPr>
              <w:jc w:val="center"/>
            </w:pPr>
            <w:r w:rsidRPr="00A46956">
              <w:t>Amendments</w:t>
            </w:r>
          </w:p>
          <w:p w14:paraId="31D79EEF" w14:textId="77777777" w:rsidR="00B64DD9" w:rsidRPr="00A46956" w:rsidRDefault="00B64DD9" w:rsidP="00B05982">
            <w:pPr>
              <w:jc w:val="center"/>
            </w:pPr>
            <w:r w:rsidRPr="00A46956">
              <w:t>Yes/No</w:t>
            </w:r>
          </w:p>
        </w:tc>
        <w:tc>
          <w:tcPr>
            <w:tcW w:w="0" w:type="auto"/>
          </w:tcPr>
          <w:p w14:paraId="37F90247" w14:textId="77777777" w:rsidR="00B64DD9" w:rsidRPr="00A46956" w:rsidRDefault="00B64DD9" w:rsidP="00B05982">
            <w:pPr>
              <w:jc w:val="center"/>
            </w:pPr>
            <w:r w:rsidRPr="00A46956">
              <w:t>Approved by</w:t>
            </w:r>
          </w:p>
        </w:tc>
        <w:tc>
          <w:tcPr>
            <w:tcW w:w="0" w:type="auto"/>
          </w:tcPr>
          <w:p w14:paraId="66D93442" w14:textId="77777777" w:rsidR="00B64DD9" w:rsidRPr="00A46956" w:rsidRDefault="00B64DD9" w:rsidP="00B05982">
            <w:pPr>
              <w:jc w:val="center"/>
            </w:pPr>
            <w:r w:rsidRPr="00A46956">
              <w:t>Date of next review</w:t>
            </w:r>
          </w:p>
        </w:tc>
        <w:tc>
          <w:tcPr>
            <w:tcW w:w="2211" w:type="dxa"/>
          </w:tcPr>
          <w:p w14:paraId="35B6B958" w14:textId="77777777" w:rsidR="00B64DD9" w:rsidRPr="00A46956" w:rsidRDefault="00B64DD9" w:rsidP="00B05982">
            <w:pPr>
              <w:jc w:val="center"/>
            </w:pPr>
            <w:r w:rsidRPr="00A46956">
              <w:t>Version</w:t>
            </w:r>
          </w:p>
        </w:tc>
      </w:tr>
      <w:tr w:rsidR="00B64DD9" w:rsidRPr="00A46956" w14:paraId="4109BD62" w14:textId="77777777" w:rsidTr="00B05982">
        <w:trPr>
          <w:trHeight w:val="564"/>
        </w:trPr>
        <w:tc>
          <w:tcPr>
            <w:tcW w:w="0" w:type="auto"/>
            <w:vAlign w:val="center"/>
          </w:tcPr>
          <w:p w14:paraId="69FDC8A3" w14:textId="77777777" w:rsidR="00B64DD9" w:rsidRPr="00A46956" w:rsidRDefault="00B64DD9" w:rsidP="00B05982">
            <w:pPr>
              <w:jc w:val="both"/>
            </w:pPr>
          </w:p>
        </w:tc>
        <w:tc>
          <w:tcPr>
            <w:tcW w:w="0" w:type="auto"/>
            <w:vAlign w:val="center"/>
          </w:tcPr>
          <w:p w14:paraId="48070C5A" w14:textId="77777777" w:rsidR="00B64DD9" w:rsidRPr="00A46956" w:rsidRDefault="00B64DD9" w:rsidP="00B05982">
            <w:pPr>
              <w:jc w:val="both"/>
            </w:pPr>
          </w:p>
        </w:tc>
        <w:tc>
          <w:tcPr>
            <w:tcW w:w="0" w:type="auto"/>
            <w:vAlign w:val="center"/>
          </w:tcPr>
          <w:p w14:paraId="5171AB31" w14:textId="77777777" w:rsidR="00B64DD9" w:rsidRPr="00A46956" w:rsidRDefault="00B64DD9" w:rsidP="00B05982">
            <w:pPr>
              <w:jc w:val="both"/>
            </w:pPr>
          </w:p>
        </w:tc>
        <w:tc>
          <w:tcPr>
            <w:tcW w:w="0" w:type="auto"/>
            <w:vAlign w:val="center"/>
          </w:tcPr>
          <w:p w14:paraId="10C1501E" w14:textId="77777777" w:rsidR="00B64DD9" w:rsidRPr="00A46956" w:rsidRDefault="00B64DD9" w:rsidP="00B05982">
            <w:pPr>
              <w:jc w:val="both"/>
            </w:pPr>
          </w:p>
        </w:tc>
        <w:tc>
          <w:tcPr>
            <w:tcW w:w="0" w:type="auto"/>
            <w:vAlign w:val="center"/>
          </w:tcPr>
          <w:p w14:paraId="632B5627" w14:textId="77777777" w:rsidR="00B64DD9" w:rsidRPr="00A46956" w:rsidRDefault="00B64DD9" w:rsidP="00B05982">
            <w:pPr>
              <w:jc w:val="both"/>
            </w:pPr>
          </w:p>
        </w:tc>
        <w:tc>
          <w:tcPr>
            <w:tcW w:w="2211" w:type="dxa"/>
            <w:vAlign w:val="center"/>
          </w:tcPr>
          <w:p w14:paraId="10950C68" w14:textId="77777777" w:rsidR="00B64DD9" w:rsidRPr="00A46956" w:rsidRDefault="00B64DD9" w:rsidP="00B05982">
            <w:pPr>
              <w:jc w:val="both"/>
            </w:pPr>
          </w:p>
        </w:tc>
      </w:tr>
      <w:tr w:rsidR="00B64DD9" w:rsidRPr="00A46956" w14:paraId="46719B0F" w14:textId="77777777" w:rsidTr="00B05982">
        <w:trPr>
          <w:trHeight w:val="586"/>
        </w:trPr>
        <w:tc>
          <w:tcPr>
            <w:tcW w:w="0" w:type="auto"/>
            <w:vAlign w:val="center"/>
          </w:tcPr>
          <w:p w14:paraId="2DB33D02" w14:textId="77777777" w:rsidR="00B64DD9" w:rsidRPr="00A46956" w:rsidRDefault="00B64DD9" w:rsidP="00B05982">
            <w:pPr>
              <w:jc w:val="both"/>
            </w:pPr>
          </w:p>
        </w:tc>
        <w:tc>
          <w:tcPr>
            <w:tcW w:w="0" w:type="auto"/>
            <w:vAlign w:val="center"/>
          </w:tcPr>
          <w:p w14:paraId="5038387D" w14:textId="77777777" w:rsidR="00B64DD9" w:rsidRPr="00A46956" w:rsidRDefault="00B64DD9" w:rsidP="00B05982">
            <w:pPr>
              <w:jc w:val="both"/>
            </w:pPr>
          </w:p>
        </w:tc>
        <w:tc>
          <w:tcPr>
            <w:tcW w:w="0" w:type="auto"/>
            <w:vAlign w:val="center"/>
          </w:tcPr>
          <w:p w14:paraId="17DBE72F" w14:textId="77777777" w:rsidR="00B64DD9" w:rsidRPr="00A46956" w:rsidRDefault="00B64DD9" w:rsidP="00B05982">
            <w:pPr>
              <w:jc w:val="both"/>
            </w:pPr>
          </w:p>
        </w:tc>
        <w:tc>
          <w:tcPr>
            <w:tcW w:w="0" w:type="auto"/>
            <w:vAlign w:val="center"/>
          </w:tcPr>
          <w:p w14:paraId="6A40AC65" w14:textId="77777777" w:rsidR="00B64DD9" w:rsidRPr="00A46956" w:rsidRDefault="00B64DD9" w:rsidP="00B05982">
            <w:pPr>
              <w:jc w:val="both"/>
            </w:pPr>
          </w:p>
        </w:tc>
        <w:tc>
          <w:tcPr>
            <w:tcW w:w="0" w:type="auto"/>
            <w:vAlign w:val="center"/>
          </w:tcPr>
          <w:p w14:paraId="4E2292FB" w14:textId="77777777" w:rsidR="00B64DD9" w:rsidRPr="00A46956" w:rsidRDefault="00B64DD9" w:rsidP="00B05982">
            <w:pPr>
              <w:jc w:val="both"/>
            </w:pPr>
          </w:p>
        </w:tc>
        <w:tc>
          <w:tcPr>
            <w:tcW w:w="2211" w:type="dxa"/>
            <w:vAlign w:val="center"/>
          </w:tcPr>
          <w:p w14:paraId="1F6D7D6E" w14:textId="77777777" w:rsidR="00B64DD9" w:rsidRPr="00A46956" w:rsidRDefault="00B64DD9" w:rsidP="00B05982">
            <w:pPr>
              <w:jc w:val="both"/>
            </w:pPr>
          </w:p>
        </w:tc>
      </w:tr>
      <w:tr w:rsidR="00B64DD9" w:rsidRPr="00A46956" w14:paraId="58E1DF69" w14:textId="77777777" w:rsidTr="00B05982">
        <w:trPr>
          <w:trHeight w:val="586"/>
        </w:trPr>
        <w:tc>
          <w:tcPr>
            <w:tcW w:w="0" w:type="auto"/>
            <w:vAlign w:val="center"/>
          </w:tcPr>
          <w:p w14:paraId="0F566DD6" w14:textId="77777777" w:rsidR="00B64DD9" w:rsidRPr="00A46956" w:rsidRDefault="00B64DD9" w:rsidP="00B05982">
            <w:pPr>
              <w:jc w:val="both"/>
            </w:pPr>
          </w:p>
        </w:tc>
        <w:tc>
          <w:tcPr>
            <w:tcW w:w="0" w:type="auto"/>
            <w:vAlign w:val="center"/>
          </w:tcPr>
          <w:p w14:paraId="01C066FD" w14:textId="77777777" w:rsidR="00B64DD9" w:rsidRPr="00A46956" w:rsidRDefault="00B64DD9" w:rsidP="00B05982">
            <w:pPr>
              <w:jc w:val="both"/>
            </w:pPr>
          </w:p>
        </w:tc>
        <w:tc>
          <w:tcPr>
            <w:tcW w:w="0" w:type="auto"/>
            <w:vAlign w:val="center"/>
          </w:tcPr>
          <w:p w14:paraId="4D3BACE2" w14:textId="77777777" w:rsidR="00B64DD9" w:rsidRPr="00A46956" w:rsidRDefault="00B64DD9" w:rsidP="00B05982">
            <w:pPr>
              <w:jc w:val="both"/>
            </w:pPr>
          </w:p>
        </w:tc>
        <w:tc>
          <w:tcPr>
            <w:tcW w:w="0" w:type="auto"/>
            <w:vAlign w:val="center"/>
          </w:tcPr>
          <w:p w14:paraId="0564440E" w14:textId="77777777" w:rsidR="00B64DD9" w:rsidRPr="00A46956" w:rsidRDefault="00B64DD9" w:rsidP="00B05982">
            <w:pPr>
              <w:jc w:val="both"/>
            </w:pPr>
          </w:p>
        </w:tc>
        <w:tc>
          <w:tcPr>
            <w:tcW w:w="0" w:type="auto"/>
            <w:vAlign w:val="center"/>
          </w:tcPr>
          <w:p w14:paraId="7293916B" w14:textId="77777777" w:rsidR="00B64DD9" w:rsidRPr="00A46956" w:rsidRDefault="00B64DD9" w:rsidP="00B05982">
            <w:pPr>
              <w:jc w:val="both"/>
            </w:pPr>
          </w:p>
        </w:tc>
        <w:tc>
          <w:tcPr>
            <w:tcW w:w="2211" w:type="dxa"/>
            <w:vAlign w:val="center"/>
          </w:tcPr>
          <w:p w14:paraId="223EA8E3" w14:textId="77777777" w:rsidR="00B64DD9" w:rsidRPr="00A46956" w:rsidRDefault="00B64DD9" w:rsidP="00B05982">
            <w:pPr>
              <w:jc w:val="both"/>
            </w:pPr>
          </w:p>
        </w:tc>
      </w:tr>
      <w:tr w:rsidR="00B64DD9" w:rsidRPr="00A46956" w14:paraId="0C8BB61F" w14:textId="77777777" w:rsidTr="00B05982">
        <w:trPr>
          <w:trHeight w:val="586"/>
        </w:trPr>
        <w:tc>
          <w:tcPr>
            <w:tcW w:w="0" w:type="auto"/>
            <w:vAlign w:val="center"/>
          </w:tcPr>
          <w:p w14:paraId="6C449BE7" w14:textId="77777777" w:rsidR="00B64DD9" w:rsidRPr="00A46956" w:rsidRDefault="00B64DD9" w:rsidP="00B05982">
            <w:pPr>
              <w:jc w:val="both"/>
            </w:pPr>
          </w:p>
        </w:tc>
        <w:tc>
          <w:tcPr>
            <w:tcW w:w="0" w:type="auto"/>
            <w:vAlign w:val="center"/>
          </w:tcPr>
          <w:p w14:paraId="1F1DE82D" w14:textId="77777777" w:rsidR="00B64DD9" w:rsidRPr="00A46956" w:rsidRDefault="00B64DD9" w:rsidP="00B05982">
            <w:pPr>
              <w:jc w:val="both"/>
            </w:pPr>
          </w:p>
        </w:tc>
        <w:tc>
          <w:tcPr>
            <w:tcW w:w="0" w:type="auto"/>
            <w:vAlign w:val="center"/>
          </w:tcPr>
          <w:p w14:paraId="5960D88B" w14:textId="77777777" w:rsidR="00B64DD9" w:rsidRPr="00A46956" w:rsidRDefault="00B64DD9" w:rsidP="00B05982">
            <w:pPr>
              <w:jc w:val="both"/>
            </w:pPr>
          </w:p>
        </w:tc>
        <w:tc>
          <w:tcPr>
            <w:tcW w:w="0" w:type="auto"/>
            <w:vAlign w:val="center"/>
          </w:tcPr>
          <w:p w14:paraId="7360304C" w14:textId="77777777" w:rsidR="00B64DD9" w:rsidRPr="00A46956" w:rsidRDefault="00B64DD9" w:rsidP="00B05982">
            <w:pPr>
              <w:jc w:val="both"/>
            </w:pPr>
          </w:p>
        </w:tc>
        <w:tc>
          <w:tcPr>
            <w:tcW w:w="0" w:type="auto"/>
            <w:vAlign w:val="center"/>
          </w:tcPr>
          <w:p w14:paraId="4C29D1B7" w14:textId="77777777" w:rsidR="00B64DD9" w:rsidRPr="00A46956" w:rsidRDefault="00B64DD9" w:rsidP="00B05982">
            <w:pPr>
              <w:jc w:val="both"/>
            </w:pPr>
          </w:p>
        </w:tc>
        <w:tc>
          <w:tcPr>
            <w:tcW w:w="2211" w:type="dxa"/>
            <w:vAlign w:val="center"/>
          </w:tcPr>
          <w:p w14:paraId="7B5F27ED" w14:textId="77777777" w:rsidR="00B64DD9" w:rsidRPr="00A46956" w:rsidRDefault="00B64DD9" w:rsidP="00B05982">
            <w:pPr>
              <w:jc w:val="both"/>
            </w:pPr>
          </w:p>
        </w:tc>
      </w:tr>
      <w:tr w:rsidR="00B64DD9" w:rsidRPr="00A46956" w14:paraId="1CBA4A09" w14:textId="77777777" w:rsidTr="00B05982">
        <w:trPr>
          <w:trHeight w:val="586"/>
        </w:trPr>
        <w:tc>
          <w:tcPr>
            <w:tcW w:w="0" w:type="auto"/>
            <w:vAlign w:val="center"/>
          </w:tcPr>
          <w:p w14:paraId="66D68306" w14:textId="77777777" w:rsidR="00B64DD9" w:rsidRPr="00A46956" w:rsidRDefault="00B64DD9" w:rsidP="00B05982">
            <w:pPr>
              <w:jc w:val="both"/>
            </w:pPr>
          </w:p>
        </w:tc>
        <w:tc>
          <w:tcPr>
            <w:tcW w:w="0" w:type="auto"/>
            <w:vAlign w:val="center"/>
          </w:tcPr>
          <w:p w14:paraId="4E6D6D1F" w14:textId="77777777" w:rsidR="00B64DD9" w:rsidRPr="00A46956" w:rsidRDefault="00B64DD9" w:rsidP="00B05982">
            <w:pPr>
              <w:jc w:val="both"/>
            </w:pPr>
          </w:p>
        </w:tc>
        <w:tc>
          <w:tcPr>
            <w:tcW w:w="0" w:type="auto"/>
            <w:vAlign w:val="center"/>
          </w:tcPr>
          <w:p w14:paraId="57002656" w14:textId="77777777" w:rsidR="00B64DD9" w:rsidRPr="00A46956" w:rsidRDefault="00B64DD9" w:rsidP="00B05982">
            <w:pPr>
              <w:jc w:val="both"/>
            </w:pPr>
          </w:p>
        </w:tc>
        <w:tc>
          <w:tcPr>
            <w:tcW w:w="0" w:type="auto"/>
            <w:vAlign w:val="center"/>
          </w:tcPr>
          <w:p w14:paraId="3BCB968C" w14:textId="77777777" w:rsidR="00B64DD9" w:rsidRPr="00A46956" w:rsidRDefault="00B64DD9" w:rsidP="00B05982">
            <w:pPr>
              <w:jc w:val="both"/>
            </w:pPr>
          </w:p>
        </w:tc>
        <w:tc>
          <w:tcPr>
            <w:tcW w:w="0" w:type="auto"/>
            <w:vAlign w:val="center"/>
          </w:tcPr>
          <w:p w14:paraId="0C5B4284" w14:textId="77777777" w:rsidR="00B64DD9" w:rsidRPr="00A46956" w:rsidRDefault="00B64DD9" w:rsidP="00B05982">
            <w:pPr>
              <w:jc w:val="both"/>
            </w:pPr>
          </w:p>
        </w:tc>
        <w:tc>
          <w:tcPr>
            <w:tcW w:w="2211" w:type="dxa"/>
            <w:vAlign w:val="center"/>
          </w:tcPr>
          <w:p w14:paraId="24138AA3" w14:textId="77777777" w:rsidR="00B64DD9" w:rsidRPr="00A46956" w:rsidRDefault="00B64DD9" w:rsidP="00B05982">
            <w:pPr>
              <w:jc w:val="both"/>
            </w:pPr>
          </w:p>
        </w:tc>
      </w:tr>
      <w:tr w:rsidR="00B64DD9" w:rsidRPr="00A46956" w14:paraId="0B92E149" w14:textId="77777777" w:rsidTr="00B05982">
        <w:trPr>
          <w:trHeight w:val="586"/>
        </w:trPr>
        <w:tc>
          <w:tcPr>
            <w:tcW w:w="0" w:type="auto"/>
            <w:vAlign w:val="center"/>
          </w:tcPr>
          <w:p w14:paraId="31B7054D" w14:textId="77777777" w:rsidR="00B64DD9" w:rsidRPr="00A46956" w:rsidRDefault="00B64DD9" w:rsidP="00B05982">
            <w:pPr>
              <w:jc w:val="both"/>
            </w:pPr>
          </w:p>
        </w:tc>
        <w:tc>
          <w:tcPr>
            <w:tcW w:w="0" w:type="auto"/>
            <w:vAlign w:val="center"/>
          </w:tcPr>
          <w:p w14:paraId="55532021" w14:textId="77777777" w:rsidR="00B64DD9" w:rsidRPr="00A46956" w:rsidRDefault="00B64DD9" w:rsidP="00B05982">
            <w:pPr>
              <w:jc w:val="both"/>
            </w:pPr>
          </w:p>
        </w:tc>
        <w:tc>
          <w:tcPr>
            <w:tcW w:w="0" w:type="auto"/>
            <w:vAlign w:val="center"/>
          </w:tcPr>
          <w:p w14:paraId="710484ED" w14:textId="77777777" w:rsidR="00B64DD9" w:rsidRPr="00A46956" w:rsidRDefault="00B64DD9" w:rsidP="00B05982">
            <w:pPr>
              <w:jc w:val="both"/>
            </w:pPr>
          </w:p>
        </w:tc>
        <w:tc>
          <w:tcPr>
            <w:tcW w:w="0" w:type="auto"/>
            <w:vAlign w:val="center"/>
          </w:tcPr>
          <w:p w14:paraId="556C6A5D" w14:textId="77777777" w:rsidR="00B64DD9" w:rsidRPr="00A46956" w:rsidRDefault="00B64DD9" w:rsidP="00B05982">
            <w:pPr>
              <w:jc w:val="both"/>
            </w:pPr>
          </w:p>
        </w:tc>
        <w:tc>
          <w:tcPr>
            <w:tcW w:w="0" w:type="auto"/>
            <w:vAlign w:val="center"/>
          </w:tcPr>
          <w:p w14:paraId="3B394BC6" w14:textId="77777777" w:rsidR="00B64DD9" w:rsidRPr="00A46956" w:rsidRDefault="00B64DD9" w:rsidP="00B05982">
            <w:pPr>
              <w:jc w:val="both"/>
            </w:pPr>
          </w:p>
        </w:tc>
        <w:tc>
          <w:tcPr>
            <w:tcW w:w="2211" w:type="dxa"/>
            <w:vAlign w:val="center"/>
          </w:tcPr>
          <w:p w14:paraId="201CCA8A" w14:textId="77777777" w:rsidR="00B64DD9" w:rsidRPr="00A46956" w:rsidRDefault="00B64DD9" w:rsidP="00B05982">
            <w:pPr>
              <w:jc w:val="both"/>
            </w:pPr>
          </w:p>
        </w:tc>
      </w:tr>
      <w:tr w:rsidR="00B64DD9" w:rsidRPr="00A46956" w14:paraId="7D96DAC0" w14:textId="77777777" w:rsidTr="00B05982">
        <w:trPr>
          <w:trHeight w:val="586"/>
        </w:trPr>
        <w:tc>
          <w:tcPr>
            <w:tcW w:w="0" w:type="auto"/>
            <w:vAlign w:val="center"/>
          </w:tcPr>
          <w:p w14:paraId="1CD95622" w14:textId="77777777" w:rsidR="00B64DD9" w:rsidRDefault="00B64DD9" w:rsidP="00B05982">
            <w:pPr>
              <w:jc w:val="both"/>
            </w:pPr>
          </w:p>
        </w:tc>
        <w:tc>
          <w:tcPr>
            <w:tcW w:w="0" w:type="auto"/>
            <w:vAlign w:val="center"/>
          </w:tcPr>
          <w:p w14:paraId="58CA1B0F" w14:textId="77777777" w:rsidR="00B64DD9" w:rsidRDefault="00B64DD9" w:rsidP="00B05982">
            <w:pPr>
              <w:jc w:val="both"/>
            </w:pPr>
          </w:p>
        </w:tc>
        <w:tc>
          <w:tcPr>
            <w:tcW w:w="0" w:type="auto"/>
            <w:vAlign w:val="center"/>
          </w:tcPr>
          <w:p w14:paraId="5C7CFDF1" w14:textId="77777777" w:rsidR="00B64DD9" w:rsidRDefault="00B64DD9" w:rsidP="00B05982">
            <w:pPr>
              <w:jc w:val="both"/>
            </w:pPr>
          </w:p>
        </w:tc>
        <w:tc>
          <w:tcPr>
            <w:tcW w:w="0" w:type="auto"/>
            <w:vAlign w:val="center"/>
          </w:tcPr>
          <w:p w14:paraId="4226EB2E" w14:textId="77777777" w:rsidR="00B64DD9" w:rsidRDefault="00B64DD9" w:rsidP="00B05982">
            <w:pPr>
              <w:jc w:val="both"/>
            </w:pPr>
          </w:p>
        </w:tc>
        <w:tc>
          <w:tcPr>
            <w:tcW w:w="0" w:type="auto"/>
            <w:vAlign w:val="center"/>
          </w:tcPr>
          <w:p w14:paraId="6A191B60" w14:textId="77777777" w:rsidR="00B64DD9" w:rsidRDefault="00B64DD9" w:rsidP="00B05982">
            <w:pPr>
              <w:jc w:val="both"/>
            </w:pPr>
          </w:p>
        </w:tc>
        <w:tc>
          <w:tcPr>
            <w:tcW w:w="2211" w:type="dxa"/>
            <w:vAlign w:val="center"/>
          </w:tcPr>
          <w:p w14:paraId="603C1FA5" w14:textId="77777777" w:rsidR="00B64DD9" w:rsidRDefault="00B64DD9" w:rsidP="00B05982">
            <w:pPr>
              <w:jc w:val="both"/>
            </w:pPr>
          </w:p>
        </w:tc>
      </w:tr>
      <w:tr w:rsidR="00B64DD9" w:rsidRPr="00A46956" w14:paraId="723C93A4" w14:textId="77777777" w:rsidTr="00B05982">
        <w:trPr>
          <w:trHeight w:val="586"/>
        </w:trPr>
        <w:tc>
          <w:tcPr>
            <w:tcW w:w="0" w:type="auto"/>
            <w:vAlign w:val="center"/>
          </w:tcPr>
          <w:p w14:paraId="1F52E17A" w14:textId="77777777" w:rsidR="00B64DD9" w:rsidRDefault="00B64DD9" w:rsidP="00B05982">
            <w:pPr>
              <w:jc w:val="both"/>
            </w:pPr>
          </w:p>
        </w:tc>
        <w:tc>
          <w:tcPr>
            <w:tcW w:w="0" w:type="auto"/>
            <w:vAlign w:val="center"/>
          </w:tcPr>
          <w:p w14:paraId="49A0C42F" w14:textId="77777777" w:rsidR="00B64DD9" w:rsidRDefault="00B64DD9" w:rsidP="00B05982">
            <w:pPr>
              <w:jc w:val="both"/>
            </w:pPr>
          </w:p>
        </w:tc>
        <w:tc>
          <w:tcPr>
            <w:tcW w:w="0" w:type="auto"/>
            <w:vAlign w:val="center"/>
          </w:tcPr>
          <w:p w14:paraId="37932820" w14:textId="77777777" w:rsidR="00B64DD9" w:rsidRDefault="00B64DD9" w:rsidP="00B05982">
            <w:pPr>
              <w:jc w:val="both"/>
            </w:pPr>
          </w:p>
        </w:tc>
        <w:tc>
          <w:tcPr>
            <w:tcW w:w="0" w:type="auto"/>
            <w:vAlign w:val="center"/>
          </w:tcPr>
          <w:p w14:paraId="2377206E" w14:textId="77777777" w:rsidR="00B64DD9" w:rsidRDefault="00B64DD9" w:rsidP="00B05982">
            <w:pPr>
              <w:jc w:val="both"/>
            </w:pPr>
          </w:p>
        </w:tc>
        <w:tc>
          <w:tcPr>
            <w:tcW w:w="0" w:type="auto"/>
            <w:vAlign w:val="center"/>
          </w:tcPr>
          <w:p w14:paraId="2C23D668" w14:textId="77777777" w:rsidR="00B64DD9" w:rsidRDefault="00B64DD9" w:rsidP="00B05982">
            <w:pPr>
              <w:jc w:val="both"/>
            </w:pPr>
          </w:p>
        </w:tc>
        <w:tc>
          <w:tcPr>
            <w:tcW w:w="2211" w:type="dxa"/>
            <w:vAlign w:val="center"/>
          </w:tcPr>
          <w:p w14:paraId="75E52154" w14:textId="77777777" w:rsidR="00B64DD9" w:rsidRDefault="00B64DD9" w:rsidP="00B05982">
            <w:pPr>
              <w:jc w:val="both"/>
            </w:pPr>
          </w:p>
        </w:tc>
      </w:tr>
      <w:tr w:rsidR="00B64DD9" w:rsidRPr="00A46956" w14:paraId="31FE29CC" w14:textId="77777777" w:rsidTr="00B05982">
        <w:trPr>
          <w:trHeight w:val="586"/>
        </w:trPr>
        <w:tc>
          <w:tcPr>
            <w:tcW w:w="0" w:type="auto"/>
            <w:vAlign w:val="center"/>
          </w:tcPr>
          <w:p w14:paraId="18F8EBCC" w14:textId="77777777" w:rsidR="00B64DD9" w:rsidRDefault="00B64DD9" w:rsidP="00B05982">
            <w:pPr>
              <w:jc w:val="both"/>
            </w:pPr>
          </w:p>
        </w:tc>
        <w:tc>
          <w:tcPr>
            <w:tcW w:w="0" w:type="auto"/>
            <w:vAlign w:val="center"/>
          </w:tcPr>
          <w:p w14:paraId="207AB645" w14:textId="77777777" w:rsidR="00B64DD9" w:rsidRDefault="00B64DD9" w:rsidP="00B05982">
            <w:pPr>
              <w:jc w:val="both"/>
            </w:pPr>
          </w:p>
        </w:tc>
        <w:tc>
          <w:tcPr>
            <w:tcW w:w="0" w:type="auto"/>
            <w:vAlign w:val="center"/>
          </w:tcPr>
          <w:p w14:paraId="1EAF41A5" w14:textId="77777777" w:rsidR="00B64DD9" w:rsidRDefault="00B64DD9" w:rsidP="00B05982">
            <w:pPr>
              <w:jc w:val="both"/>
            </w:pPr>
          </w:p>
        </w:tc>
        <w:tc>
          <w:tcPr>
            <w:tcW w:w="0" w:type="auto"/>
            <w:vAlign w:val="center"/>
          </w:tcPr>
          <w:p w14:paraId="447622D8" w14:textId="77777777" w:rsidR="00B64DD9" w:rsidRDefault="00B64DD9" w:rsidP="00B05982">
            <w:pPr>
              <w:jc w:val="both"/>
            </w:pPr>
          </w:p>
        </w:tc>
        <w:tc>
          <w:tcPr>
            <w:tcW w:w="0" w:type="auto"/>
            <w:vAlign w:val="center"/>
          </w:tcPr>
          <w:p w14:paraId="03239263" w14:textId="77777777" w:rsidR="00B64DD9" w:rsidRDefault="00B64DD9" w:rsidP="00B05982">
            <w:pPr>
              <w:jc w:val="both"/>
            </w:pPr>
          </w:p>
        </w:tc>
        <w:tc>
          <w:tcPr>
            <w:tcW w:w="2211" w:type="dxa"/>
            <w:vAlign w:val="center"/>
          </w:tcPr>
          <w:p w14:paraId="06B3923F" w14:textId="77777777" w:rsidR="00B64DD9" w:rsidRDefault="00B64DD9" w:rsidP="00B05982">
            <w:pPr>
              <w:jc w:val="both"/>
            </w:pPr>
          </w:p>
        </w:tc>
      </w:tr>
    </w:tbl>
    <w:p w14:paraId="7E963656" w14:textId="77777777" w:rsidR="00B64DD9" w:rsidRPr="00A46956" w:rsidRDefault="00B64DD9" w:rsidP="00B64DD9">
      <w:pPr>
        <w:jc w:val="both"/>
      </w:pPr>
    </w:p>
    <w:p w14:paraId="481E36B9" w14:textId="77777777" w:rsidR="002E28E0" w:rsidRDefault="00834EA8"/>
    <w:sectPr w:rsidR="002E28E0" w:rsidSect="005A6FC4">
      <w:headerReference w:type="even" r:id="rId8"/>
      <w:footerReference w:type="default" r:id="rId9"/>
      <w:headerReference w:type="first" r:id="rId10"/>
      <w:pgSz w:w="11906" w:h="16838"/>
      <w:pgMar w:top="720" w:right="720" w:bottom="1440" w:left="720" w:header="709" w:footer="709" w:gutter="0"/>
      <w:pgBorders w:offsetFrom="page">
        <w:top w:val="single" w:sz="4" w:space="24" w:color="auto"/>
        <w:left w:val="single" w:sz="4" w:space="24" w:color="auto"/>
        <w:bottom w:val="single" w:sz="4" w:space="31"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B839E" w14:textId="77777777" w:rsidR="00834EA8" w:rsidRDefault="00834EA8" w:rsidP="00B64DD9">
      <w:pPr>
        <w:spacing w:after="0" w:line="240" w:lineRule="auto"/>
      </w:pPr>
      <w:r>
        <w:separator/>
      </w:r>
    </w:p>
  </w:endnote>
  <w:endnote w:type="continuationSeparator" w:id="0">
    <w:p w14:paraId="0A797426" w14:textId="77777777" w:rsidR="00834EA8" w:rsidRDefault="00834EA8" w:rsidP="00B64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4194382"/>
      <w:docPartObj>
        <w:docPartGallery w:val="Page Numbers (Bottom of Page)"/>
        <w:docPartUnique/>
      </w:docPartObj>
    </w:sdtPr>
    <w:sdtEndPr/>
    <w:sdtContent>
      <w:sdt>
        <w:sdtPr>
          <w:id w:val="-1769616900"/>
          <w:docPartObj>
            <w:docPartGallery w:val="Page Numbers (Top of Page)"/>
            <w:docPartUnique/>
          </w:docPartObj>
        </w:sdtPr>
        <w:sdtEndPr/>
        <w:sdtContent>
          <w:p w14:paraId="6736C67E" w14:textId="77777777" w:rsidR="003F0DA0" w:rsidRDefault="009A3D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69C3FD" w14:textId="77777777" w:rsidR="00F31849" w:rsidRDefault="00834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EF701" w14:textId="77777777" w:rsidR="00834EA8" w:rsidRDefault="00834EA8" w:rsidP="00B64DD9">
      <w:pPr>
        <w:spacing w:after="0" w:line="240" w:lineRule="auto"/>
      </w:pPr>
      <w:r>
        <w:separator/>
      </w:r>
    </w:p>
  </w:footnote>
  <w:footnote w:type="continuationSeparator" w:id="0">
    <w:p w14:paraId="34588B90" w14:textId="77777777" w:rsidR="00834EA8" w:rsidRDefault="00834EA8" w:rsidP="00B64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00CD8" w14:textId="77777777" w:rsidR="00CC1E21" w:rsidRDefault="00834EA8">
    <w:pPr>
      <w:pStyle w:val="Header"/>
    </w:pPr>
    <w:r>
      <w:rPr>
        <w:noProof/>
      </w:rPr>
      <w:pict w14:anchorId="05312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42360" o:spid="_x0000_s2050" type="#_x0000_t136" style="position:absolute;margin-left:0;margin-top:0;width:523.15pt;height:56.05pt;z-index:-251656192;mso-position-horizontal:center;mso-position-horizontal-relative:margin;mso-position-vertical:center;mso-position-vertical-relative:margin" o:allowincell="f" fillcolor="silver" stroked="f">
          <v:fill opacity=".5"/>
          <v:textpath style="font-family:&quot;Calibri&quot;;font-size:1pt" string="www.workplaceinductionzone.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83BA8" w14:textId="77777777" w:rsidR="00CC1E21" w:rsidRDefault="00834EA8">
    <w:pPr>
      <w:pStyle w:val="Header"/>
    </w:pPr>
    <w:r>
      <w:rPr>
        <w:noProof/>
      </w:rPr>
      <w:pict w14:anchorId="492C2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42359" o:spid="_x0000_s2049" type="#_x0000_t136" style="position:absolute;margin-left:0;margin-top:0;width:523.15pt;height:56.05pt;z-index:-251658240;mso-position-horizontal:center;mso-position-horizontal-relative:margin;mso-position-vertical:center;mso-position-vertical-relative:margin" o:allowincell="f" fillcolor="silver" stroked="f">
          <v:fill opacity=".5"/>
          <v:textpath style="font-family:&quot;Calibri&quot;;font-size:1pt" string="www.workplaceinductionzone.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24E8D"/>
    <w:multiLevelType w:val="hybridMultilevel"/>
    <w:tmpl w:val="5F30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453E8C"/>
    <w:multiLevelType w:val="hybridMultilevel"/>
    <w:tmpl w:val="88828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D9"/>
    <w:rsid w:val="001C25C6"/>
    <w:rsid w:val="004B2F3F"/>
    <w:rsid w:val="004C56DC"/>
    <w:rsid w:val="00735EF1"/>
    <w:rsid w:val="00834EA8"/>
    <w:rsid w:val="0099585A"/>
    <w:rsid w:val="009A3D45"/>
    <w:rsid w:val="00B64DD9"/>
    <w:rsid w:val="00D522E5"/>
    <w:rsid w:val="00FE1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FB44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DD9"/>
    <w:pPr>
      <w:ind w:left="720"/>
      <w:contextualSpacing/>
    </w:pPr>
  </w:style>
  <w:style w:type="paragraph" w:styleId="Title">
    <w:name w:val="Title"/>
    <w:basedOn w:val="Normal"/>
    <w:next w:val="Normal"/>
    <w:link w:val="TitleChar"/>
    <w:uiPriority w:val="10"/>
    <w:qFormat/>
    <w:rsid w:val="00B64D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DD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64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DD9"/>
  </w:style>
  <w:style w:type="paragraph" w:styleId="Footer">
    <w:name w:val="footer"/>
    <w:basedOn w:val="Normal"/>
    <w:link w:val="FooterChar"/>
    <w:uiPriority w:val="99"/>
    <w:unhideWhenUsed/>
    <w:rsid w:val="00B64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DD9"/>
  </w:style>
  <w:style w:type="table" w:styleId="TableGrid">
    <w:name w:val="Table Grid"/>
    <w:basedOn w:val="TableNormal"/>
    <w:uiPriority w:val="39"/>
    <w:rsid w:val="00B64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64DD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4DD9"/>
    <w:rPr>
      <w:rFonts w:eastAsiaTheme="minorEastAsia"/>
      <w:color w:val="5A5A5A" w:themeColor="text1" w:themeTint="A5"/>
      <w:spacing w:val="15"/>
    </w:rPr>
  </w:style>
  <w:style w:type="character" w:styleId="IntenseEmphasis">
    <w:name w:val="Intense Emphasis"/>
    <w:basedOn w:val="DefaultParagraphFont"/>
    <w:uiPriority w:val="21"/>
    <w:qFormat/>
    <w:rsid w:val="00B64DD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2020-03-16T18:11:00Z</dcterms:created>
  <dcterms:modified xsi:type="dcterms:W3CDTF">2020-03-22T12:09:00Z</dcterms:modified>
</cp:coreProperties>
</file>